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永安项目蒸馏水机钢平台</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永安项目蒸馏水机钢平台</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北京天坛生物制品股份有限公司下属成都蓉生药业有限责任公司根据工作需要，拟近期招议标永安项目蒸馏水机钢平台。</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200027</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bookmarkStart w:id="0" w:name="_GoBack"/>
      <w:bookmarkEnd w:id="0"/>
      <w:r>
        <w:rPr>
          <w:rFonts w:hint="eastAsia" w:asciiTheme="minorEastAsia" w:hAnsiTheme="minorEastAsia"/>
        </w:rPr>
        <w:t>最近2年承担过3个不低于本标工程的规模和性质相似的工程，具备钢结构设计制作安装和机电安装施工经验和专业的施工团队。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2020-04-22T01:11:59Z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