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永安项目电子台秤</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永安项目</w:t>
      </w:r>
      <w:r>
        <w:rPr>
          <w:rFonts w:hint="eastAsia" w:asciiTheme="minorEastAsia" w:hAnsiTheme="minorEastAsia"/>
          <w:lang w:val="en-US" w:eastAsia="zh-CN"/>
        </w:rPr>
        <w:t>电子台秤</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成都蓉生药业有限责任公司永安项目根据工作需求，拟购置6台电子台秤。</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42</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2ED3A57"/>
    <w:rsid w:val="04001F2A"/>
    <w:rsid w:val="047955B2"/>
    <w:rsid w:val="07744FD0"/>
    <w:rsid w:val="09BB03ED"/>
    <w:rsid w:val="0AFA6A2D"/>
    <w:rsid w:val="0B14292D"/>
    <w:rsid w:val="0B337ED8"/>
    <w:rsid w:val="0F9043F2"/>
    <w:rsid w:val="13A43796"/>
    <w:rsid w:val="1424768D"/>
    <w:rsid w:val="14944E0D"/>
    <w:rsid w:val="15394BD8"/>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B45443B"/>
    <w:rsid w:val="2E976A5F"/>
    <w:rsid w:val="30277F07"/>
    <w:rsid w:val="31627FEE"/>
    <w:rsid w:val="32290BBF"/>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5F3136C4"/>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2020-05-26T07:11:02Z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