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连续流离心机</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：连续流离心机采购项目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拟采购连续流离心机2台。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6FDC5AF5"/>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3</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2023-02-21T03:21:55Z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